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A527" w14:textId="77777777" w:rsidR="0000763A" w:rsidRPr="0000763A" w:rsidRDefault="0000763A" w:rsidP="000076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fr-BE"/>
        </w:rPr>
      </w:pPr>
      <w:r w:rsidRPr="0000763A">
        <w:rPr>
          <w:rFonts w:eastAsia="Times New Roman" w:cstheme="minorHAnsi"/>
          <w:b/>
          <w:bCs/>
          <w:kern w:val="36"/>
          <w:sz w:val="28"/>
          <w:szCs w:val="28"/>
          <w:lang w:eastAsia="fr-BE"/>
        </w:rPr>
        <w:t>La hausse du dollar pèse sur les métaux</w:t>
      </w:r>
    </w:p>
    <w:p w14:paraId="4CA86337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</w:pPr>
    </w:p>
    <w:p w14:paraId="245D82DE" w14:textId="2DE887A4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fermeté du billet vert — il culmine à un plus haut de quasiment trois mois et </w:t>
      </w:r>
      <w:proofErr w:type="gramStart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demi face</w:t>
      </w:r>
      <w:proofErr w:type="gramEnd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à un panier de plusieurs devises de référence — pèse sur les cours des métaux.</w:t>
      </w:r>
    </w:p>
    <w:p w14:paraId="32723EF1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cuivre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peine à se maintenir au-delà des 8.900 dollars la tonne. Pour autant, et bien que les stocks soient à leur plus haut depuis le 21 janvier dans les entrepôts du LME, les perspectives restent plutôt positives pour le métal rouge : le plan de relance américain, à 1.900 milliards de dollars, est de nature à stimuler la consommation de cuivre, qui devrait également s’améliorer ces prochains mois en Chine — le deuxième trimestre est traditionnellement celui de l’année où il s’utilise le plus de métaux dans l’Empire du Milieu.</w:t>
      </w:r>
    </w:p>
    <w:p w14:paraId="63E5682F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« </w:t>
      </w:r>
      <w:r w:rsidRPr="0000763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Les importations montrent que la demande chinoise reste robuste. Nous sommes dans un marché haussier et je ne pense pas que quelque chose pourra empêcher le cuivre de progresser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» a estimé Robin </w:t>
      </w:r>
      <w:proofErr w:type="spellStart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Bhar</w:t>
      </w:r>
      <w:proofErr w:type="spellEnd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, analyste indépendant. Une vision corroborée par les analystes de Citi, qui voient le métal rouge atteindre 10.500 $/tonne dans les trois mois à venir, dans la mesure où l’écart entre la consommation et l’approvisionnement va atteindre un pic.</w:t>
      </w:r>
    </w:p>
    <w:p w14:paraId="72DABB99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reste du complexe est sous pression à Londres, avec des cours </w:t>
      </w:r>
      <w:proofErr w:type="gramStart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qui perdent pas</w:t>
      </w:r>
      <w:proofErr w:type="gramEnd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loin de 1,5 % par exemple pour l’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aluminium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, et bien davantage pour 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nickel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, qui sombre aux alentours de 15.800 dollars à l’heure où nous rédigeons ces lignes.</w:t>
      </w:r>
    </w:p>
    <w:p w14:paraId="4C5BC555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nickel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a souffert la semaine dernière et dégringolait de près de 12% par rapport à son cours de vendredi dernier sur le London </w:t>
      </w:r>
      <w:proofErr w:type="spellStart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Metal</w:t>
      </w:r>
      <w:proofErr w:type="spellEnd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Exchange, refroidi par la montée en puissance d'un acteur chinois du </w:t>
      </w:r>
      <w:proofErr w:type="spellStart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coté</w:t>
      </w:r>
      <w:proofErr w:type="spellEnd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l'offre. Il s'agit de sa pire semaine depuis fin septembre 2011.</w:t>
      </w:r>
    </w:p>
    <w:p w14:paraId="77AE2551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Les informations selon lesquelles le Chinois </w:t>
      </w:r>
      <w:proofErr w:type="spellStart"/>
      <w:r w:rsidRPr="0000763A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Tsingshan</w:t>
      </w:r>
      <w:proofErr w:type="spellEnd"/>
      <w:r w:rsidRPr="0000763A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 Holding Group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« </w:t>
      </w:r>
      <w:r w:rsidRPr="0000763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produira en masse de la matte de nickel pourraient changer la donne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» pour le marché, a estimé </w:t>
      </w:r>
      <w:proofErr w:type="spellStart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Wenyu</w:t>
      </w:r>
      <w:proofErr w:type="spellEnd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Yao, analyste chez ING. « </w:t>
      </w:r>
      <w:r w:rsidRPr="0000763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Les risques liés à l'approvisionnement en nickel de qualité pour les batteries seront beaucoup moins importants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», a-t-elle ajouté, ce qui tire les cours vers le bas. De plus, l'accord trouvé jeudi 4 mars signant la reprise de l'usine de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nickel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du groupe brésilien </w:t>
      </w:r>
      <w:r w:rsidRPr="0000763A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Vale 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en Nouvelle-Calédonie tempère lui aussi les risques qui pèsent sur l'offre, alors que la demande, notamment sur le segment porteur du véhicule électrique, est amenée à croître. Le cours du « métal du diable » a été presque multiplié par deux entre son plus bas de mars 2020, quand la pandémie de Covid-19 précipitait vers le bas l'ensemble des cours des matières premières, et son dernier record fin février, à plus de 20.000 dollars la tonne, un seuil plus vu depuis mai 2014. Reste que « </w:t>
      </w:r>
      <w:r w:rsidRPr="0000763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la vague de ventes a été brutale et certains investisseurs ont dû couvrir leurs positions, il est donc logique de constater des achats à bon compte 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» a indiqué Oliver </w:t>
      </w:r>
      <w:proofErr w:type="spellStart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Nugent</w:t>
      </w:r>
      <w:proofErr w:type="spellEnd"/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, analyste chez Citi.</w:t>
      </w:r>
    </w:p>
    <w:p w14:paraId="6EDA93A7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Concernant 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zinc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, on notera que, pour 2021, les frais de traitement dont doivent s’acquitter les producteurs miniers auprès des fonderies a chuté à 200 dollars la tonne (300 dollars en 2020). Explication ? Le marché mondial du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zinc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devrait passer d’un déficit de concentrés de 400.000 tonnes en 2020, à un excédent compris entre 200.000 et 250.000 tonnes cette année.</w:t>
      </w:r>
    </w:p>
    <w:p w14:paraId="525F57FE" w14:textId="77777777" w:rsidR="0000763A" w:rsidRPr="0000763A" w:rsidRDefault="0000763A" w:rsidP="0000763A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En résumé, d’un mardi l’autre, 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cuivre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perd 350 dollars à 8.900 dollars, 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nickel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voit se volatiliser près de 2.800 dollars à 15.850 dollars, 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zinc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abandonne pour sa part une centaine de dollars à 2.740 dollars, le 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plomb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n’est pas en reste avec une perte de 120 dollars, à 1.960 dollars. L’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aluminium high-grade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perd une quarantaine de dollars, à 2.140 dollars. Enfin, il faut toujours une exception et c’est l’</w:t>
      </w:r>
      <w:r w:rsidRPr="000076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étain</w:t>
      </w:r>
      <w:r w:rsidRPr="0000763A">
        <w:rPr>
          <w:rFonts w:eastAsia="Times New Roman" w:cstheme="minorHAnsi"/>
          <w:color w:val="000000"/>
          <w:sz w:val="24"/>
          <w:szCs w:val="24"/>
          <w:lang w:eastAsia="fr-BE"/>
        </w:rPr>
        <w:t> qui joue ce rôle avec un gain modeste de 200 dollars, à 24.375 dollars.</w:t>
      </w:r>
    </w:p>
    <w:p w14:paraId="735B69D4" w14:textId="77777777" w:rsidR="00EE5420" w:rsidRPr="0000763A" w:rsidRDefault="00EE5420">
      <w:pPr>
        <w:rPr>
          <w:rFonts w:cstheme="minorHAnsi"/>
          <w:sz w:val="24"/>
          <w:szCs w:val="24"/>
        </w:rPr>
      </w:pPr>
    </w:p>
    <w:sectPr w:rsidR="00EE5420" w:rsidRPr="0000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3A"/>
    <w:rsid w:val="0000763A"/>
    <w:rsid w:val="00E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3F35"/>
  <w15:chartTrackingRefBased/>
  <w15:docId w15:val="{63D60564-309B-4A93-9A9C-A63E79D1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2021-03-10T06:46:00Z</dcterms:created>
  <dcterms:modified xsi:type="dcterms:W3CDTF">2021-03-10T06:47:00Z</dcterms:modified>
</cp:coreProperties>
</file>